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91B4D" w14:textId="77777777" w:rsidR="00350493" w:rsidRDefault="00350493" w:rsidP="00350493">
      <w:pPr>
        <w:pStyle w:val="NormalWeb"/>
        <w:spacing w:before="0" w:beforeAutospacing="0" w:after="150" w:afterAutospacing="0"/>
        <w:jc w:val="center"/>
        <w:rPr>
          <w:rFonts w:ascii="Arial" w:hAnsi="Arial" w:cs="Arial"/>
          <w:color w:val="000000"/>
          <w:sz w:val="21"/>
          <w:szCs w:val="21"/>
        </w:rPr>
      </w:pPr>
      <w:r>
        <w:rPr>
          <w:rStyle w:val="Emphasis"/>
          <w:color w:val="000000"/>
          <w:sz w:val="28"/>
          <w:szCs w:val="28"/>
        </w:rPr>
        <w:t>Are There Limits to the Acquisition of Government Information:  The Case of the Rumps</w:t>
      </w:r>
      <w:r>
        <w:rPr>
          <w:color w:val="000000"/>
          <w:sz w:val="28"/>
          <w:szCs w:val="28"/>
        </w:rPr>
        <w:t>?</w:t>
      </w:r>
    </w:p>
    <w:p w14:paraId="2D693B5B"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Investigations for administrative purposes occasionally raise issues of whether the information was obtained in violation of a person’s constitutional rights.  An administrator’s task of “balancing” societal and individual rights when implementing public policies is one of the toughest challenges that any administrator faces, particularly given the constant calls to make government more efficient, open, and fair.</w:t>
      </w:r>
    </w:p>
    <w:p w14:paraId="3916D87E"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With this as background, the IRS has decided to create a task force to reveal and combat the growing proportion of businesses that fail to report their total income accurately.  This undercover group, known as the Business Beware Task Force, focuses on businesses that keep two sets of books, one reflecting the reported income and a second documenting the real income. </w:t>
      </w:r>
    </w:p>
    <w:p w14:paraId="3C7C29B9"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 xml:space="preserve">Agents working on the project decide the best strategy to implement this Initiative was </w:t>
      </w:r>
      <w:proofErr w:type="gramStart"/>
      <w:r>
        <w:rPr>
          <w:rFonts w:ascii="Arial" w:hAnsi="Arial" w:cs="Arial"/>
          <w:color w:val="000000"/>
        </w:rPr>
        <w:t>to  pose</w:t>
      </w:r>
      <w:proofErr w:type="gramEnd"/>
      <w:r>
        <w:rPr>
          <w:rFonts w:ascii="Arial" w:hAnsi="Arial" w:cs="Arial"/>
          <w:color w:val="000000"/>
        </w:rPr>
        <w:t xml:space="preserve"> as prospective buyers of small businesses with a fairly high cash flow, thereby making the businesses likely candidates for “skimming.”  Agents contact prospective brokers and sellers and indicate their interest (although not stating it directly) of their interest in “skimming” some cash after acquiring a business.  (Skimmed cash is the money on which individuals pay no taxes.)  Agents of the Task Force contacted the Rump Brokerage Firm.</w:t>
      </w:r>
    </w:p>
    <w:p w14:paraId="025970C8"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Mr. and Mrs. Ronald Rump are brokers who are interested in “hooking up” with business interests.  The Rump Brokerage Firm is a small business which the owners run out of their home.  IRS records indicate the business has been slightly profitable over the past five years. Unknowingly, the Rump’s contacted members of the Task Force and set up a meeting to discuss "business matters."</w:t>
      </w:r>
    </w:p>
    <w:p w14:paraId="3C486294"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 xml:space="preserve">After meeting with the Rump’s, one of the agent's working on the task </w:t>
      </w:r>
      <w:proofErr w:type="gramStart"/>
      <w:r>
        <w:rPr>
          <w:rFonts w:ascii="Arial" w:hAnsi="Arial" w:cs="Arial"/>
          <w:color w:val="000000"/>
        </w:rPr>
        <w:t>force  won</w:t>
      </w:r>
      <w:proofErr w:type="gramEnd"/>
      <w:r>
        <w:rPr>
          <w:rFonts w:ascii="Arial" w:hAnsi="Arial" w:cs="Arial"/>
          <w:color w:val="000000"/>
        </w:rPr>
        <w:t xml:space="preserve"> over their confidence whereupon, the Rump’s decided to show the agent its second set of books documenting the profitability of the business.  The documents indicate that the Rump Brokerage Firm had an additional $100,000 of income unreported each year over the past five years.  Once this was revealed, the agents contained headquarters and a special agent told then to get a search warrant.  Once the courts granted the search warrant, the agents went to the Rump’s house and seized ten boxes of records dealing with the company's business records.  The agents also arrested Mr. Ronald Rump and his wife for income tax evasion. During that period, the agents overheard Mrs. Rump </w:t>
      </w:r>
      <w:proofErr w:type="gramStart"/>
      <w:r>
        <w:rPr>
          <w:rFonts w:ascii="Arial" w:hAnsi="Arial" w:cs="Arial"/>
          <w:color w:val="000000"/>
        </w:rPr>
        <w:t>say  to</w:t>
      </w:r>
      <w:proofErr w:type="gramEnd"/>
      <w:r>
        <w:rPr>
          <w:rFonts w:ascii="Arial" w:hAnsi="Arial" w:cs="Arial"/>
          <w:color w:val="000000"/>
        </w:rPr>
        <w:t xml:space="preserve"> Mr. Rump--"I told you not to keep a second set of books."  </w:t>
      </w:r>
    </w:p>
    <w:p w14:paraId="3FFA8AE7" w14:textId="77777777"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Was the information obtained legally by the IRS agents?  Did the agents, at any time, violate the suspects Fourth or Fifth Amendment rights of privacy?  What is the rationale underlying an agency’s record-keeping requirement?  While IRS officials can claim the need for such projects, are there any limits that can be placed on an agency’s appetite to carry out its “official duties?”</w:t>
      </w:r>
    </w:p>
    <w:p w14:paraId="32328AA0" w14:textId="77777777" w:rsidR="00350493" w:rsidRDefault="00350493" w:rsidP="00350493">
      <w:pPr>
        <w:pStyle w:val="NormalWeb"/>
        <w:spacing w:before="0" w:beforeAutospacing="0" w:after="150" w:afterAutospacing="0"/>
        <w:rPr>
          <w:rFonts w:ascii="Arial" w:hAnsi="Arial" w:cs="Arial"/>
          <w:color w:val="000000"/>
        </w:rPr>
      </w:pPr>
      <w:r>
        <w:rPr>
          <w:rFonts w:ascii="Arial" w:hAnsi="Arial" w:cs="Arial"/>
          <w:color w:val="000000"/>
        </w:rPr>
        <w:t xml:space="preserve"> The Rump’s and their legal team claimed that the IRS and its agents intentionally inflicted emotional distress, defamed their character, and invaded their privacy and thereby should be held accountable via tort action.  In responding to the Rump’s charge, </w:t>
      </w:r>
      <w:r>
        <w:rPr>
          <w:rFonts w:ascii="Arial" w:hAnsi="Arial" w:cs="Arial"/>
          <w:color w:val="000000"/>
        </w:rPr>
        <w:lastRenderedPageBreak/>
        <w:t>the agency maintained that the inspection was necessary to further the regulatory scheme upon which it functioned, and the government has tremendous latitude in conducting warrantless inspections.  However, the Rump’s claimed that federal agents were operating outside the bounds of their discretionary duty and thus they were not protected by the doctrine of official immunity from common law torts. </w:t>
      </w:r>
    </w:p>
    <w:p w14:paraId="09AFA72C" w14:textId="32AD0200" w:rsidR="00350493" w:rsidRDefault="00350493" w:rsidP="00350493">
      <w:pPr>
        <w:pStyle w:val="NormalWeb"/>
        <w:spacing w:before="0" w:beforeAutospacing="0" w:after="150" w:afterAutospacing="0"/>
        <w:rPr>
          <w:rFonts w:ascii="Arial" w:hAnsi="Arial" w:cs="Arial"/>
          <w:color w:val="000000"/>
          <w:sz w:val="21"/>
          <w:szCs w:val="21"/>
        </w:rPr>
      </w:pPr>
      <w:r>
        <w:rPr>
          <w:rFonts w:ascii="Arial" w:hAnsi="Arial" w:cs="Arial"/>
          <w:color w:val="000000"/>
        </w:rPr>
        <w:t xml:space="preserve"> Given this set of factual circumstances, will courts likely hold the IRS agents liable for their actions which they argue was taken in furtherance of an official duty they are required to perform as employees of the IRS?  Why or why not?</w:t>
      </w:r>
    </w:p>
    <w:p w14:paraId="2C871777" w14:textId="77777777" w:rsidR="009C679C" w:rsidRDefault="00350493"/>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93"/>
    <w:rsid w:val="00322A50"/>
    <w:rsid w:val="00350493"/>
    <w:rsid w:val="005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68055"/>
  <w15:chartTrackingRefBased/>
  <w15:docId w15:val="{272DD3AA-D824-D64A-9197-B2065AB7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49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504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9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2021-05-05T01:52:00Z</dcterms:created>
  <dcterms:modified xsi:type="dcterms:W3CDTF">2021-05-05T01:53:00Z</dcterms:modified>
</cp:coreProperties>
</file>